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044C" w14:textId="2E436B69" w:rsidR="001D3C11" w:rsidRDefault="001D3C11"/>
    <w:p w14:paraId="676CEE01" w14:textId="5A97C045" w:rsidR="00007948" w:rsidRDefault="00007948" w:rsidP="00871036">
      <w:pPr>
        <w:jc w:val="center"/>
        <w:rPr>
          <w:rFonts w:ascii="Cambria" w:eastAsia="Times New Roman" w:hAnsi="Cambria" w:cs="Times New Roman"/>
          <w:b/>
          <w:kern w:val="1"/>
          <w:sz w:val="32"/>
          <w:szCs w:val="32"/>
        </w:rPr>
      </w:pPr>
      <w:r>
        <w:rPr>
          <w:rFonts w:ascii="Cambria" w:eastAsia="Times New Roman" w:hAnsi="Cambria" w:cs="Times New Roman"/>
          <w:b/>
          <w:kern w:val="1"/>
          <w:sz w:val="32"/>
          <w:szCs w:val="32"/>
        </w:rPr>
        <w:t>‘Chequeo’ a las terapias de rescate frente a ‘</w:t>
      </w:r>
      <w:proofErr w:type="spellStart"/>
      <w:r>
        <w:rPr>
          <w:rFonts w:ascii="Cambria" w:eastAsia="Times New Roman" w:hAnsi="Cambria" w:cs="Times New Roman"/>
          <w:b/>
          <w:kern w:val="1"/>
          <w:sz w:val="32"/>
          <w:szCs w:val="32"/>
        </w:rPr>
        <w:t>Helicobacter</w:t>
      </w:r>
      <w:proofErr w:type="spellEnd"/>
      <w:r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 pylori’ en Europa  </w:t>
      </w:r>
    </w:p>
    <w:p w14:paraId="1D6BE1EC" w14:textId="77777777" w:rsidR="00007948" w:rsidRDefault="00007948" w:rsidP="00871036">
      <w:pPr>
        <w:jc w:val="center"/>
        <w:rPr>
          <w:rFonts w:ascii="Cambria" w:eastAsia="Times New Roman" w:hAnsi="Cambria" w:cs="Times New Roman"/>
          <w:b/>
          <w:kern w:val="1"/>
          <w:sz w:val="32"/>
          <w:szCs w:val="32"/>
        </w:rPr>
      </w:pPr>
    </w:p>
    <w:p w14:paraId="6B7C6279" w14:textId="4FBB4DC5" w:rsidR="00871036" w:rsidRPr="00007948" w:rsidRDefault="00007948" w:rsidP="00007948">
      <w:pPr>
        <w:pStyle w:val="Prrafodelist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 xml:space="preserve">Un estudio en </w:t>
      </w:r>
      <w:r w:rsidR="00C7450D">
        <w:rPr>
          <w:rFonts w:ascii="Cambria" w:hAnsi="Cambria"/>
          <w:b/>
          <w:sz w:val="24"/>
          <w:szCs w:val="24"/>
        </w:rPr>
        <w:t>más de 2.000</w:t>
      </w:r>
      <w:r>
        <w:rPr>
          <w:rFonts w:ascii="Cambria" w:hAnsi="Cambria"/>
          <w:b/>
          <w:sz w:val="24"/>
          <w:szCs w:val="24"/>
        </w:rPr>
        <w:t xml:space="preserve"> pacientes, </w:t>
      </w:r>
      <w:r w:rsidR="007C0C26">
        <w:rPr>
          <w:rFonts w:ascii="Cambria" w:hAnsi="Cambria"/>
          <w:b/>
          <w:sz w:val="24"/>
          <w:szCs w:val="24"/>
        </w:rPr>
        <w:t>coordinado por el</w:t>
      </w:r>
      <w:r>
        <w:rPr>
          <w:rFonts w:ascii="Cambria" w:hAnsi="Cambria"/>
          <w:b/>
          <w:sz w:val="24"/>
          <w:szCs w:val="24"/>
        </w:rPr>
        <w:t xml:space="preserve"> CIBEREHD</w:t>
      </w:r>
      <w:r w:rsidR="007C0C26">
        <w:rPr>
          <w:rFonts w:ascii="Cambria" w:hAnsi="Cambria"/>
          <w:b/>
          <w:sz w:val="24"/>
          <w:szCs w:val="24"/>
        </w:rPr>
        <w:t xml:space="preserve"> y el Hospital de </w:t>
      </w:r>
      <w:r w:rsidR="001236AE">
        <w:rPr>
          <w:rFonts w:ascii="Cambria" w:hAnsi="Cambria"/>
          <w:b/>
          <w:sz w:val="24"/>
          <w:szCs w:val="24"/>
        </w:rPr>
        <w:t>L</w:t>
      </w:r>
      <w:r w:rsidR="007C0C26">
        <w:rPr>
          <w:rFonts w:ascii="Cambria" w:hAnsi="Cambria"/>
          <w:b/>
          <w:sz w:val="24"/>
          <w:szCs w:val="24"/>
        </w:rPr>
        <w:t>a Princesa de Madrid</w:t>
      </w:r>
      <w:r>
        <w:rPr>
          <w:rFonts w:ascii="Cambria" w:hAnsi="Cambria"/>
          <w:b/>
          <w:sz w:val="24"/>
          <w:szCs w:val="24"/>
        </w:rPr>
        <w:t>, recoge la información más relevante sobre los tratamientos para las infecciones</w:t>
      </w:r>
      <w:r w:rsidR="0021332E">
        <w:rPr>
          <w:rFonts w:ascii="Cambria" w:hAnsi="Cambria"/>
          <w:b/>
          <w:sz w:val="24"/>
          <w:szCs w:val="24"/>
        </w:rPr>
        <w:t xml:space="preserve"> por </w:t>
      </w:r>
      <w:proofErr w:type="spellStart"/>
      <w:r w:rsidR="0021332E" w:rsidRPr="0021332E">
        <w:rPr>
          <w:rFonts w:ascii="Cambria" w:hAnsi="Cambria"/>
          <w:b/>
          <w:i/>
          <w:sz w:val="24"/>
          <w:szCs w:val="24"/>
        </w:rPr>
        <w:t>Helicobacter</w:t>
      </w:r>
      <w:proofErr w:type="spellEnd"/>
      <w:r w:rsidR="0021332E" w:rsidRPr="0021332E">
        <w:rPr>
          <w:rFonts w:ascii="Cambria" w:hAnsi="Cambria"/>
          <w:b/>
          <w:i/>
          <w:sz w:val="24"/>
          <w:szCs w:val="24"/>
        </w:rPr>
        <w:t xml:space="preserve"> pylori</w:t>
      </w:r>
      <w:r>
        <w:rPr>
          <w:rFonts w:ascii="Cambria" w:hAnsi="Cambria"/>
          <w:b/>
          <w:sz w:val="24"/>
          <w:szCs w:val="24"/>
        </w:rPr>
        <w:t xml:space="preserve"> más difíciles de tratar, con una efectividad en todos los casos menor al 90% </w:t>
      </w:r>
    </w:p>
    <w:p w14:paraId="3DFC8B61" w14:textId="77777777" w:rsidR="00007948" w:rsidRPr="00007948" w:rsidRDefault="00007948" w:rsidP="00007948">
      <w:pPr>
        <w:pStyle w:val="Prrafodelista"/>
        <w:jc w:val="both"/>
        <w:rPr>
          <w:rFonts w:ascii="Cambria" w:hAnsi="Cambria"/>
        </w:rPr>
      </w:pPr>
    </w:p>
    <w:p w14:paraId="399E5EF9" w14:textId="48438246" w:rsidR="00871036" w:rsidRPr="00007948" w:rsidRDefault="00007948" w:rsidP="00871036">
      <w:pPr>
        <w:pStyle w:val="Prrafodelist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Se usa</w:t>
      </w:r>
      <w:r w:rsidR="0021332E">
        <w:rPr>
          <w:rFonts w:ascii="Cambria" w:hAnsi="Cambria"/>
          <w:b/>
          <w:sz w:val="24"/>
          <w:szCs w:val="24"/>
        </w:rPr>
        <w:t>ro</w:t>
      </w:r>
      <w:r>
        <w:rPr>
          <w:rFonts w:ascii="Cambria" w:hAnsi="Cambria"/>
          <w:b/>
          <w:sz w:val="24"/>
          <w:szCs w:val="24"/>
        </w:rPr>
        <w:t>n 60 terapias diferentes</w:t>
      </w:r>
      <w:r w:rsidR="007C0C26">
        <w:rPr>
          <w:rFonts w:ascii="Cambria" w:hAnsi="Cambria"/>
          <w:b/>
          <w:sz w:val="24"/>
          <w:szCs w:val="24"/>
        </w:rPr>
        <w:t xml:space="preserve"> “de rescate”</w:t>
      </w:r>
      <w:r>
        <w:rPr>
          <w:rFonts w:ascii="Cambria" w:hAnsi="Cambria"/>
          <w:b/>
          <w:sz w:val="24"/>
          <w:szCs w:val="24"/>
        </w:rPr>
        <w:t xml:space="preserve">, con resultados muy mejorables </w:t>
      </w:r>
    </w:p>
    <w:p w14:paraId="0CA37227" w14:textId="77777777" w:rsidR="00007948" w:rsidRPr="00007948" w:rsidRDefault="00007948" w:rsidP="00007948">
      <w:pPr>
        <w:pStyle w:val="Prrafodelista"/>
        <w:rPr>
          <w:rFonts w:ascii="Cambria" w:hAnsi="Cambria"/>
        </w:rPr>
      </w:pPr>
    </w:p>
    <w:p w14:paraId="0C3FF4EA" w14:textId="5FA35495" w:rsidR="00007948" w:rsidRPr="00007948" w:rsidRDefault="00007948" w:rsidP="00871036">
      <w:pPr>
        <w:pStyle w:val="Prrafodelista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Esta</w:t>
      </w:r>
      <w:r w:rsidRPr="00007948">
        <w:rPr>
          <w:rFonts w:ascii="Cambria" w:hAnsi="Cambria"/>
          <w:b/>
          <w:sz w:val="24"/>
          <w:szCs w:val="24"/>
        </w:rPr>
        <w:t xml:space="preserve"> bacteria</w:t>
      </w:r>
      <w:r>
        <w:rPr>
          <w:rFonts w:ascii="Cambria" w:hAnsi="Cambria"/>
          <w:b/>
          <w:sz w:val="24"/>
          <w:szCs w:val="24"/>
        </w:rPr>
        <w:t>,</w:t>
      </w:r>
      <w:r w:rsidRPr="00007948">
        <w:rPr>
          <w:rFonts w:ascii="Cambria" w:hAnsi="Cambria"/>
          <w:b/>
          <w:sz w:val="24"/>
          <w:szCs w:val="24"/>
        </w:rPr>
        <w:t xml:space="preserve"> que afecta a la mucosa gástrica de forma crónica, </w:t>
      </w:r>
      <w:r w:rsidR="0021332E">
        <w:rPr>
          <w:rFonts w:ascii="Cambria" w:hAnsi="Cambria"/>
          <w:b/>
          <w:sz w:val="24"/>
          <w:szCs w:val="24"/>
        </w:rPr>
        <w:t>representa</w:t>
      </w:r>
      <w:r w:rsidRPr="00007948">
        <w:rPr>
          <w:rFonts w:ascii="Cambria" w:hAnsi="Cambria"/>
          <w:b/>
          <w:sz w:val="24"/>
          <w:szCs w:val="24"/>
        </w:rPr>
        <w:t xml:space="preserve"> la infección más prevalente del planeta y afecta a aproximadamente el 50% de la población mundial</w:t>
      </w:r>
    </w:p>
    <w:p w14:paraId="3CD151B5" w14:textId="77777777" w:rsidR="00007948" w:rsidRDefault="00007948" w:rsidP="00871036">
      <w:pPr>
        <w:jc w:val="both"/>
        <w:rPr>
          <w:rFonts w:ascii="Cambria" w:hAnsi="Cambria"/>
          <w:b/>
          <w:kern w:val="2"/>
          <w:sz w:val="24"/>
          <w:szCs w:val="24"/>
        </w:rPr>
      </w:pPr>
    </w:p>
    <w:p w14:paraId="39E3775B" w14:textId="080C13EE" w:rsidR="00856CA0" w:rsidRDefault="00871036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b/>
          <w:kern w:val="2"/>
          <w:sz w:val="24"/>
          <w:szCs w:val="24"/>
        </w:rPr>
        <w:t xml:space="preserve">Madrid, </w:t>
      </w:r>
      <w:r w:rsidR="003D7BA3">
        <w:rPr>
          <w:rFonts w:ascii="Cambria" w:hAnsi="Cambria"/>
          <w:b/>
          <w:kern w:val="2"/>
          <w:sz w:val="24"/>
          <w:szCs w:val="24"/>
        </w:rPr>
        <w:t>30</w:t>
      </w:r>
      <w:r w:rsidR="003D7BA3">
        <w:rPr>
          <w:rFonts w:ascii="Cambria" w:hAnsi="Cambria"/>
          <w:b/>
          <w:kern w:val="2"/>
          <w:sz w:val="24"/>
          <w:szCs w:val="24"/>
        </w:rPr>
        <w:t xml:space="preserve"> </w:t>
      </w:r>
      <w:r>
        <w:rPr>
          <w:rFonts w:ascii="Cambria" w:hAnsi="Cambria"/>
          <w:b/>
          <w:kern w:val="2"/>
          <w:sz w:val="24"/>
          <w:szCs w:val="24"/>
        </w:rPr>
        <w:t>de diciembre</w:t>
      </w:r>
      <w:r w:rsidRPr="00D93537">
        <w:rPr>
          <w:rFonts w:ascii="Cambria" w:hAnsi="Cambria"/>
          <w:b/>
          <w:kern w:val="2"/>
          <w:sz w:val="24"/>
          <w:szCs w:val="24"/>
        </w:rPr>
        <w:t xml:space="preserve"> de 2022.-</w:t>
      </w:r>
      <w:r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="006F58EA" w:rsidRPr="008554CA">
        <w:rPr>
          <w:rFonts w:ascii="Cambria" w:hAnsi="Cambria"/>
          <w:i/>
          <w:iCs/>
          <w:kern w:val="2"/>
          <w:sz w:val="24"/>
          <w:szCs w:val="24"/>
        </w:rPr>
        <w:t>Helicobacter</w:t>
      </w:r>
      <w:proofErr w:type="spellEnd"/>
      <w:r w:rsidR="006F58EA" w:rsidRPr="008554CA">
        <w:rPr>
          <w:rFonts w:ascii="Cambria" w:hAnsi="Cambria"/>
          <w:i/>
          <w:iCs/>
          <w:kern w:val="2"/>
          <w:sz w:val="24"/>
          <w:szCs w:val="24"/>
        </w:rPr>
        <w:t xml:space="preserve"> pylori </w:t>
      </w:r>
      <w:r w:rsidR="002F00A1">
        <w:rPr>
          <w:rFonts w:ascii="Cambria" w:hAnsi="Cambria"/>
          <w:kern w:val="2"/>
          <w:sz w:val="24"/>
          <w:szCs w:val="24"/>
        </w:rPr>
        <w:t>es una bacteria que afecta a la mucosa gástrica de forma crónica, siendo la infección más prevalente del planeta</w:t>
      </w:r>
      <w:r w:rsidR="00CB33FE">
        <w:rPr>
          <w:rFonts w:ascii="Cambria" w:hAnsi="Cambria"/>
          <w:kern w:val="2"/>
          <w:sz w:val="24"/>
          <w:szCs w:val="24"/>
        </w:rPr>
        <w:t>,</w:t>
      </w:r>
      <w:r w:rsidR="002F00A1">
        <w:rPr>
          <w:rFonts w:ascii="Cambria" w:hAnsi="Cambria"/>
          <w:kern w:val="2"/>
          <w:sz w:val="24"/>
          <w:szCs w:val="24"/>
        </w:rPr>
        <w:t xml:space="preserve"> y</w:t>
      </w:r>
      <w:r w:rsidR="00CB33FE">
        <w:rPr>
          <w:rFonts w:ascii="Cambria" w:hAnsi="Cambria"/>
          <w:kern w:val="2"/>
          <w:sz w:val="24"/>
          <w:szCs w:val="24"/>
        </w:rPr>
        <w:t>a</w:t>
      </w:r>
      <w:r w:rsidR="002F00A1">
        <w:rPr>
          <w:rFonts w:ascii="Cambria" w:hAnsi="Cambria"/>
          <w:kern w:val="2"/>
          <w:sz w:val="24"/>
          <w:szCs w:val="24"/>
        </w:rPr>
        <w:t xml:space="preserve"> que afecta a aproximadamente el 50% de la población mundial</w:t>
      </w:r>
      <w:r w:rsidR="00692CF8">
        <w:rPr>
          <w:rFonts w:ascii="Cambria" w:hAnsi="Cambria"/>
          <w:kern w:val="2"/>
          <w:sz w:val="24"/>
          <w:szCs w:val="24"/>
        </w:rPr>
        <w:t xml:space="preserve">, sin </w:t>
      </w:r>
      <w:r w:rsidR="00CB33FE">
        <w:rPr>
          <w:rFonts w:ascii="Cambria" w:hAnsi="Cambria"/>
          <w:kern w:val="2"/>
          <w:sz w:val="24"/>
          <w:szCs w:val="24"/>
        </w:rPr>
        <w:t xml:space="preserve">que actualmente dispongamos de </w:t>
      </w:r>
      <w:r w:rsidR="00692CF8">
        <w:rPr>
          <w:rFonts w:ascii="Cambria" w:hAnsi="Cambria"/>
          <w:kern w:val="2"/>
          <w:sz w:val="24"/>
          <w:szCs w:val="24"/>
        </w:rPr>
        <w:t xml:space="preserve">una </w:t>
      </w:r>
      <w:r w:rsidR="002F00A1">
        <w:rPr>
          <w:rFonts w:ascii="Cambria" w:hAnsi="Cambria"/>
          <w:kern w:val="2"/>
          <w:sz w:val="24"/>
          <w:szCs w:val="24"/>
        </w:rPr>
        <w:t xml:space="preserve">estrategia de tratamiento </w:t>
      </w:r>
      <w:r w:rsidR="007E72A0">
        <w:rPr>
          <w:rFonts w:ascii="Cambria" w:hAnsi="Cambria"/>
          <w:kern w:val="2"/>
          <w:sz w:val="24"/>
          <w:szCs w:val="24"/>
        </w:rPr>
        <w:t>idónea</w:t>
      </w:r>
      <w:r w:rsidR="00692CF8">
        <w:rPr>
          <w:rFonts w:ascii="Cambria" w:hAnsi="Cambria"/>
          <w:kern w:val="2"/>
          <w:sz w:val="24"/>
          <w:szCs w:val="24"/>
        </w:rPr>
        <w:t>. Así lo constata</w:t>
      </w:r>
      <w:r w:rsidR="002F00A1">
        <w:rPr>
          <w:rFonts w:ascii="Cambria" w:hAnsi="Cambria"/>
          <w:kern w:val="2"/>
          <w:sz w:val="24"/>
          <w:szCs w:val="24"/>
        </w:rPr>
        <w:t xml:space="preserve"> </w:t>
      </w:r>
      <w:r w:rsidR="009E7900">
        <w:rPr>
          <w:rFonts w:ascii="Cambria" w:hAnsi="Cambria"/>
          <w:kern w:val="2"/>
          <w:sz w:val="24"/>
          <w:szCs w:val="24"/>
        </w:rPr>
        <w:t xml:space="preserve">un </w:t>
      </w:r>
      <w:r w:rsidR="005415E0">
        <w:rPr>
          <w:rFonts w:ascii="Cambria" w:hAnsi="Cambria"/>
          <w:kern w:val="2"/>
          <w:sz w:val="24"/>
          <w:szCs w:val="24"/>
        </w:rPr>
        <w:t xml:space="preserve">registro europeo sobre el manejo de </w:t>
      </w:r>
      <w:r w:rsidR="00CB33FE">
        <w:rPr>
          <w:rFonts w:ascii="Cambria" w:hAnsi="Cambria"/>
          <w:kern w:val="2"/>
          <w:sz w:val="24"/>
          <w:szCs w:val="24"/>
        </w:rPr>
        <w:t>esta</w:t>
      </w:r>
      <w:r w:rsidR="005415E0">
        <w:rPr>
          <w:rFonts w:ascii="Cambria" w:hAnsi="Cambria"/>
          <w:kern w:val="2"/>
          <w:sz w:val="24"/>
          <w:szCs w:val="24"/>
        </w:rPr>
        <w:t xml:space="preserve"> infección</w:t>
      </w:r>
      <w:r w:rsidR="00692CF8">
        <w:rPr>
          <w:rFonts w:ascii="Cambria" w:hAnsi="Cambria"/>
          <w:kern w:val="2"/>
          <w:sz w:val="24"/>
          <w:szCs w:val="24"/>
        </w:rPr>
        <w:t xml:space="preserve"> (Hp-</w:t>
      </w:r>
      <w:proofErr w:type="spellStart"/>
      <w:r w:rsidR="00692CF8">
        <w:rPr>
          <w:rFonts w:ascii="Cambria" w:hAnsi="Cambria"/>
          <w:kern w:val="2"/>
          <w:sz w:val="24"/>
          <w:szCs w:val="24"/>
        </w:rPr>
        <w:t>EuReg</w:t>
      </w:r>
      <w:proofErr w:type="spellEnd"/>
      <w:r w:rsidR="00692CF8">
        <w:rPr>
          <w:rFonts w:ascii="Cambria" w:hAnsi="Cambria"/>
          <w:kern w:val="2"/>
          <w:sz w:val="24"/>
          <w:szCs w:val="24"/>
        </w:rPr>
        <w:t>)</w:t>
      </w:r>
      <w:r w:rsidR="005415E0">
        <w:rPr>
          <w:rFonts w:ascii="Cambria" w:hAnsi="Cambria"/>
          <w:kern w:val="2"/>
          <w:sz w:val="24"/>
          <w:szCs w:val="24"/>
        </w:rPr>
        <w:t>,</w:t>
      </w:r>
      <w:r w:rsidR="009E7900">
        <w:rPr>
          <w:rFonts w:ascii="Cambria" w:hAnsi="Cambria"/>
          <w:kern w:val="2"/>
          <w:sz w:val="24"/>
          <w:szCs w:val="24"/>
        </w:rPr>
        <w:t xml:space="preserve"> publicado en </w:t>
      </w:r>
      <w:proofErr w:type="spellStart"/>
      <w:r w:rsidR="009E7900" w:rsidRPr="005415E0">
        <w:rPr>
          <w:rFonts w:ascii="Cambria" w:hAnsi="Cambria"/>
          <w:i/>
          <w:iCs/>
          <w:kern w:val="2"/>
          <w:sz w:val="24"/>
          <w:szCs w:val="24"/>
        </w:rPr>
        <w:t>Gut</w:t>
      </w:r>
      <w:proofErr w:type="spellEnd"/>
      <w:r w:rsidR="005415E0" w:rsidRPr="005415E0">
        <w:rPr>
          <w:rFonts w:ascii="Cambria" w:hAnsi="Cambria"/>
          <w:i/>
          <w:iCs/>
          <w:kern w:val="2"/>
          <w:sz w:val="24"/>
          <w:szCs w:val="24"/>
        </w:rPr>
        <w:t>,</w:t>
      </w:r>
      <w:r w:rsidR="009E7900">
        <w:rPr>
          <w:rFonts w:ascii="Cambria" w:hAnsi="Cambria"/>
          <w:kern w:val="2"/>
          <w:sz w:val="24"/>
          <w:szCs w:val="24"/>
        </w:rPr>
        <w:t xml:space="preserve"> </w:t>
      </w:r>
      <w:r w:rsidR="00692CF8">
        <w:rPr>
          <w:rFonts w:ascii="Cambria" w:hAnsi="Cambria"/>
          <w:kern w:val="2"/>
          <w:sz w:val="24"/>
          <w:szCs w:val="24"/>
        </w:rPr>
        <w:t xml:space="preserve">que </w:t>
      </w:r>
      <w:r w:rsidR="009E7900">
        <w:rPr>
          <w:rFonts w:ascii="Cambria" w:hAnsi="Cambria"/>
          <w:kern w:val="2"/>
          <w:sz w:val="24"/>
          <w:szCs w:val="24"/>
        </w:rPr>
        <w:t xml:space="preserve">concluye que el tratamiento empírico de rescate </w:t>
      </w:r>
      <w:r w:rsidR="007C0C26">
        <w:rPr>
          <w:rFonts w:ascii="Cambria" w:hAnsi="Cambria"/>
          <w:kern w:val="2"/>
          <w:sz w:val="24"/>
          <w:szCs w:val="24"/>
        </w:rPr>
        <w:t>cuando no funcionan los tratamientos iniciales</w:t>
      </w:r>
      <w:r w:rsidR="009E7900">
        <w:rPr>
          <w:rFonts w:ascii="Cambria" w:hAnsi="Cambria"/>
          <w:kern w:val="2"/>
          <w:sz w:val="24"/>
          <w:szCs w:val="24"/>
        </w:rPr>
        <w:t xml:space="preserve"> no alcanza la </w:t>
      </w:r>
      <w:r w:rsidR="00856CA0">
        <w:rPr>
          <w:rFonts w:ascii="Cambria" w:hAnsi="Cambria"/>
          <w:kern w:val="2"/>
          <w:sz w:val="24"/>
          <w:szCs w:val="24"/>
        </w:rPr>
        <w:t>efectividad necesaria</w:t>
      </w:r>
      <w:r w:rsidR="005415E0">
        <w:rPr>
          <w:rFonts w:ascii="Cambria" w:hAnsi="Cambria"/>
          <w:kern w:val="2"/>
          <w:sz w:val="24"/>
          <w:szCs w:val="24"/>
        </w:rPr>
        <w:t xml:space="preserve"> en Europa.</w:t>
      </w:r>
    </w:p>
    <w:p w14:paraId="07364868" w14:textId="07596A3B" w:rsidR="005415E0" w:rsidRDefault="005415E0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Este estudio observacional, multicéntrico y prospectivo ha sido coordinado por Javier P. Gisbert, investigador principal del Hp-</w:t>
      </w:r>
      <w:proofErr w:type="spellStart"/>
      <w:r>
        <w:rPr>
          <w:rFonts w:ascii="Cambria" w:hAnsi="Cambria"/>
          <w:kern w:val="2"/>
          <w:sz w:val="24"/>
          <w:szCs w:val="24"/>
        </w:rPr>
        <w:t>EuReg</w:t>
      </w:r>
      <w:proofErr w:type="spellEnd"/>
      <w:r>
        <w:rPr>
          <w:rFonts w:ascii="Cambria" w:hAnsi="Cambria"/>
          <w:kern w:val="2"/>
          <w:sz w:val="24"/>
          <w:szCs w:val="24"/>
        </w:rPr>
        <w:t xml:space="preserve"> y de</w:t>
      </w:r>
      <w:r w:rsidR="001E3BB2">
        <w:rPr>
          <w:rFonts w:ascii="Cambria" w:hAnsi="Cambria"/>
          <w:kern w:val="2"/>
          <w:sz w:val="24"/>
          <w:szCs w:val="24"/>
        </w:rPr>
        <w:t xml:space="preserve"> área de</w:t>
      </w:r>
      <w:r w:rsidR="001E3BB2" w:rsidRPr="001E3BB2">
        <w:rPr>
          <w:rFonts w:ascii="Cambria" w:hAnsi="Cambria"/>
          <w:kern w:val="2"/>
          <w:sz w:val="24"/>
          <w:szCs w:val="24"/>
        </w:rPr>
        <w:t xml:space="preserve"> </w:t>
      </w:r>
      <w:r w:rsidR="001E3BB2">
        <w:rPr>
          <w:rFonts w:ascii="Cambria" w:hAnsi="Cambria"/>
          <w:kern w:val="2"/>
          <w:sz w:val="24"/>
          <w:szCs w:val="24"/>
        </w:rPr>
        <w:t>Enfermedades Hepáticas y Digestivas del</w:t>
      </w:r>
      <w:r>
        <w:rPr>
          <w:rFonts w:ascii="Cambria" w:hAnsi="Cambria"/>
          <w:kern w:val="2"/>
          <w:sz w:val="24"/>
          <w:szCs w:val="24"/>
        </w:rPr>
        <w:t xml:space="preserve"> CIBER (CIBEREHD) en el Instituto de Investigación Sanitaria Princesa (I</w:t>
      </w:r>
      <w:r w:rsidR="00CB33FE">
        <w:rPr>
          <w:rFonts w:ascii="Cambria" w:hAnsi="Cambria"/>
          <w:kern w:val="2"/>
          <w:sz w:val="24"/>
          <w:szCs w:val="24"/>
        </w:rPr>
        <w:t>I</w:t>
      </w:r>
      <w:r>
        <w:rPr>
          <w:rFonts w:ascii="Cambria" w:hAnsi="Cambria"/>
          <w:kern w:val="2"/>
          <w:sz w:val="24"/>
          <w:szCs w:val="24"/>
        </w:rPr>
        <w:t>S</w:t>
      </w:r>
      <w:r w:rsidR="00CB33FE">
        <w:rPr>
          <w:rFonts w:ascii="Cambria" w:hAnsi="Cambria"/>
          <w:kern w:val="2"/>
          <w:sz w:val="24"/>
          <w:szCs w:val="24"/>
        </w:rPr>
        <w:t>-</w:t>
      </w:r>
      <w:r>
        <w:rPr>
          <w:rFonts w:ascii="Cambria" w:hAnsi="Cambria"/>
          <w:kern w:val="2"/>
          <w:sz w:val="24"/>
          <w:szCs w:val="24"/>
        </w:rPr>
        <w:t xml:space="preserve">Princesa) del Hospital Universitario </w:t>
      </w:r>
      <w:r w:rsidR="00CB33FE">
        <w:rPr>
          <w:rFonts w:ascii="Cambria" w:hAnsi="Cambria"/>
          <w:kern w:val="2"/>
          <w:sz w:val="24"/>
          <w:szCs w:val="24"/>
        </w:rPr>
        <w:t xml:space="preserve">de </w:t>
      </w:r>
      <w:r>
        <w:rPr>
          <w:rFonts w:ascii="Cambria" w:hAnsi="Cambria"/>
          <w:kern w:val="2"/>
          <w:sz w:val="24"/>
          <w:szCs w:val="24"/>
        </w:rPr>
        <w:t>La Princesa de Madrid, d</w:t>
      </w:r>
      <w:r w:rsidR="00CB33FE">
        <w:rPr>
          <w:rFonts w:ascii="Cambria" w:hAnsi="Cambria"/>
          <w:kern w:val="2"/>
          <w:sz w:val="24"/>
          <w:szCs w:val="24"/>
        </w:rPr>
        <w:t>o</w:t>
      </w:r>
      <w:r>
        <w:rPr>
          <w:rFonts w:ascii="Cambria" w:hAnsi="Cambria"/>
          <w:kern w:val="2"/>
          <w:sz w:val="24"/>
          <w:szCs w:val="24"/>
        </w:rPr>
        <w:t>nde también es investigadora Olga P. Nysse</w:t>
      </w:r>
      <w:r w:rsidR="00CB33FE">
        <w:rPr>
          <w:rFonts w:ascii="Cambria" w:hAnsi="Cambria"/>
          <w:kern w:val="2"/>
          <w:sz w:val="24"/>
          <w:szCs w:val="24"/>
        </w:rPr>
        <w:t>n</w:t>
      </w:r>
      <w:r>
        <w:rPr>
          <w:rFonts w:ascii="Cambria" w:hAnsi="Cambria"/>
          <w:kern w:val="2"/>
          <w:sz w:val="24"/>
          <w:szCs w:val="24"/>
        </w:rPr>
        <w:t xml:space="preserve">; y por Diego Burgos, gastroenterólogo del Hospital Ramón y Cajal. </w:t>
      </w:r>
    </w:p>
    <w:p w14:paraId="29EA77F5" w14:textId="38C76821" w:rsidR="005415E0" w:rsidRDefault="005415E0" w:rsidP="00871036">
      <w:pPr>
        <w:jc w:val="both"/>
        <w:rPr>
          <w:rFonts w:ascii="Cambria" w:hAnsi="Cambria"/>
          <w:kern w:val="2"/>
          <w:sz w:val="24"/>
          <w:szCs w:val="24"/>
        </w:rPr>
      </w:pPr>
      <w:r w:rsidRPr="00E97410">
        <w:rPr>
          <w:rFonts w:ascii="Cambria" w:hAnsi="Cambria"/>
          <w:kern w:val="2"/>
          <w:sz w:val="24"/>
          <w:szCs w:val="24"/>
        </w:rPr>
        <w:t xml:space="preserve">Asimismo, participan varios grupos del CIBEREHD en el Hospital La Fe de Valencia, Fundación Hospital Universitario Vall </w:t>
      </w:r>
      <w:proofErr w:type="spellStart"/>
      <w:r w:rsidRPr="00E97410">
        <w:rPr>
          <w:rFonts w:ascii="Cambria" w:hAnsi="Cambria"/>
          <w:kern w:val="2"/>
          <w:sz w:val="24"/>
          <w:szCs w:val="24"/>
        </w:rPr>
        <w:t>d’Hebron</w:t>
      </w:r>
      <w:proofErr w:type="spellEnd"/>
      <w:r w:rsidRPr="00E97410">
        <w:rPr>
          <w:rFonts w:ascii="Cambria" w:hAnsi="Cambria"/>
          <w:kern w:val="2"/>
          <w:sz w:val="24"/>
          <w:szCs w:val="24"/>
        </w:rPr>
        <w:t xml:space="preserve"> - </w:t>
      </w:r>
      <w:proofErr w:type="spellStart"/>
      <w:r w:rsidRPr="00E97410">
        <w:rPr>
          <w:rFonts w:ascii="Cambria" w:hAnsi="Cambria"/>
          <w:kern w:val="2"/>
          <w:sz w:val="24"/>
          <w:szCs w:val="24"/>
        </w:rPr>
        <w:t>Institut</w:t>
      </w:r>
      <w:proofErr w:type="spellEnd"/>
      <w:r w:rsidRPr="00E97410">
        <w:rPr>
          <w:rFonts w:ascii="Cambria" w:hAnsi="Cambria"/>
          <w:kern w:val="2"/>
          <w:sz w:val="24"/>
          <w:szCs w:val="24"/>
        </w:rPr>
        <w:t xml:space="preserve"> de Recerca (VHIR), Hospital </w:t>
      </w:r>
      <w:proofErr w:type="spellStart"/>
      <w:r w:rsidRPr="00E97410">
        <w:rPr>
          <w:rFonts w:ascii="Cambria" w:hAnsi="Cambria"/>
          <w:kern w:val="2"/>
          <w:sz w:val="24"/>
          <w:szCs w:val="24"/>
        </w:rPr>
        <w:t>Clinic</w:t>
      </w:r>
      <w:proofErr w:type="spellEnd"/>
      <w:r w:rsidRPr="00E97410">
        <w:rPr>
          <w:rFonts w:ascii="Cambria" w:hAnsi="Cambria"/>
          <w:kern w:val="2"/>
          <w:sz w:val="24"/>
          <w:szCs w:val="24"/>
        </w:rPr>
        <w:t xml:space="preserve"> de Barcelona, Hospital Clínico de Valladolid, </w:t>
      </w:r>
      <w:r w:rsidR="00692CF8" w:rsidRPr="00E97410">
        <w:rPr>
          <w:rFonts w:ascii="Cambria" w:hAnsi="Cambria"/>
          <w:kern w:val="2"/>
          <w:sz w:val="24"/>
          <w:szCs w:val="24"/>
        </w:rPr>
        <w:t xml:space="preserve">Hospital de la Santa Creu i Sant Pau de Barcelona, Hospital Universitario de Cáceres, Hospital Clínico de Zaragoza, Hospital Universitario Donostia y </w:t>
      </w:r>
      <w:r w:rsidR="001E3BB2">
        <w:rPr>
          <w:rFonts w:ascii="Cambria" w:hAnsi="Cambria"/>
          <w:kern w:val="2"/>
          <w:sz w:val="24"/>
          <w:szCs w:val="24"/>
        </w:rPr>
        <w:t xml:space="preserve">Hospital </w:t>
      </w:r>
      <w:r w:rsidR="00692CF8" w:rsidRPr="00E97410">
        <w:rPr>
          <w:rFonts w:ascii="Cambria" w:hAnsi="Cambria"/>
          <w:kern w:val="2"/>
          <w:sz w:val="24"/>
          <w:szCs w:val="24"/>
        </w:rPr>
        <w:t>Virgen del Rocío de Sevilla.</w:t>
      </w:r>
      <w:r w:rsidR="00692CF8">
        <w:rPr>
          <w:rFonts w:ascii="Cambria" w:hAnsi="Cambria"/>
          <w:kern w:val="2"/>
          <w:sz w:val="24"/>
          <w:szCs w:val="24"/>
        </w:rPr>
        <w:t xml:space="preserve"> </w:t>
      </w:r>
    </w:p>
    <w:p w14:paraId="3B0616B3" w14:textId="4D0990B4" w:rsidR="00692CF8" w:rsidRDefault="00692CF8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El Registro europeo recoge sistemáticamente las pautas terapéuticas en el manejo de la infección por </w:t>
      </w:r>
      <w:r w:rsidRPr="00B92BCB">
        <w:rPr>
          <w:rFonts w:ascii="Cambria" w:hAnsi="Cambria"/>
          <w:i/>
          <w:iCs/>
          <w:kern w:val="2"/>
          <w:sz w:val="24"/>
          <w:szCs w:val="24"/>
        </w:rPr>
        <w:t xml:space="preserve">H. pylori </w:t>
      </w:r>
      <w:r>
        <w:rPr>
          <w:rFonts w:ascii="Cambria" w:hAnsi="Cambria"/>
          <w:kern w:val="2"/>
          <w:sz w:val="24"/>
          <w:szCs w:val="24"/>
        </w:rPr>
        <w:t xml:space="preserve">y permite así evaluar las decisiones y resultados más </w:t>
      </w:r>
      <w:r>
        <w:rPr>
          <w:rFonts w:ascii="Cambria" w:hAnsi="Cambria"/>
          <w:kern w:val="2"/>
          <w:sz w:val="24"/>
          <w:szCs w:val="24"/>
        </w:rPr>
        <w:lastRenderedPageBreak/>
        <w:t>relevantes, con casi 60.000 pacientes de 32 países con diferentes patrones de resistencias bacterianas y accesibilidad al tratamiento, incluyendo una gran cantidad de información sobre la realidad de la práctica clínica en Europa.</w:t>
      </w:r>
    </w:p>
    <w:p w14:paraId="030123AF" w14:textId="4CEED010" w:rsidR="00B92BCB" w:rsidRDefault="00B92BCB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La principal conclusión </w:t>
      </w:r>
      <w:r w:rsidR="00E81DAE">
        <w:rPr>
          <w:rFonts w:ascii="Cambria" w:hAnsi="Cambria"/>
          <w:kern w:val="2"/>
          <w:sz w:val="24"/>
          <w:szCs w:val="24"/>
        </w:rPr>
        <w:t xml:space="preserve">del mencionado estudio </w:t>
      </w:r>
      <w:r>
        <w:rPr>
          <w:rFonts w:ascii="Cambria" w:hAnsi="Cambria"/>
          <w:kern w:val="2"/>
          <w:sz w:val="24"/>
          <w:szCs w:val="24"/>
        </w:rPr>
        <w:t xml:space="preserve">es que el tratamiento empírico de rescate en tercera y sucesivas líneas alcanza una eficacia subóptima en la mayoría de los países europeos, y tan solo las terapias cuádruples con metronidazol-tetraciclina-bismuto (en forma de cápsula </w:t>
      </w:r>
      <w:r w:rsidR="00E81DAE">
        <w:rPr>
          <w:rFonts w:ascii="Cambria" w:hAnsi="Cambria"/>
          <w:kern w:val="2"/>
          <w:sz w:val="24"/>
          <w:szCs w:val="24"/>
        </w:rPr>
        <w:t xml:space="preserve">única durante </w:t>
      </w:r>
      <w:r>
        <w:rPr>
          <w:rFonts w:ascii="Cambria" w:hAnsi="Cambria"/>
          <w:kern w:val="2"/>
          <w:sz w:val="24"/>
          <w:szCs w:val="24"/>
        </w:rPr>
        <w:t xml:space="preserve">10 días </w:t>
      </w:r>
      <w:r w:rsidR="00924905">
        <w:rPr>
          <w:rFonts w:ascii="Cambria" w:hAnsi="Cambria"/>
          <w:kern w:val="2"/>
          <w:sz w:val="24"/>
          <w:szCs w:val="24"/>
        </w:rPr>
        <w:t>o con el esquema clásico durante 14 días) y la triple con amoxicilina-levofloxacino de 14 días logran resultados aceptables en algunos contextos.</w:t>
      </w:r>
    </w:p>
    <w:p w14:paraId="06B14A76" w14:textId="7B0C8336" w:rsidR="006B24B3" w:rsidRDefault="00924905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Según explica Javier P. Gisbert, “</w:t>
      </w:r>
      <w:r w:rsidR="006B24B3" w:rsidRPr="006B24B3">
        <w:rPr>
          <w:rFonts w:ascii="Cambria" w:hAnsi="Cambria"/>
          <w:i/>
          <w:iCs/>
          <w:kern w:val="2"/>
          <w:sz w:val="24"/>
          <w:szCs w:val="24"/>
        </w:rPr>
        <w:t xml:space="preserve">nuestro objetivo ha sido obtener una visión general actualizada y a gran escala de los patrones de prescripción y su efectividad en las infecciones por </w:t>
      </w:r>
      <w:r w:rsidR="00E81DAE" w:rsidRPr="00E81DAE">
        <w:rPr>
          <w:rFonts w:ascii="Cambria" w:hAnsi="Cambria"/>
          <w:i/>
          <w:iCs/>
          <w:kern w:val="2"/>
          <w:sz w:val="24"/>
          <w:szCs w:val="24"/>
        </w:rPr>
        <w:t>H. pylori</w:t>
      </w:r>
      <w:r w:rsidR="00E81DAE">
        <w:rPr>
          <w:rFonts w:ascii="Cambria" w:hAnsi="Cambria"/>
          <w:i/>
          <w:iCs/>
          <w:kern w:val="2"/>
          <w:sz w:val="24"/>
          <w:szCs w:val="24"/>
        </w:rPr>
        <w:t xml:space="preserve"> </w:t>
      </w:r>
      <w:r w:rsidR="006B24B3" w:rsidRPr="006B24B3">
        <w:rPr>
          <w:rFonts w:ascii="Cambria" w:hAnsi="Cambria"/>
          <w:i/>
          <w:iCs/>
          <w:kern w:val="2"/>
          <w:sz w:val="24"/>
          <w:szCs w:val="24"/>
        </w:rPr>
        <w:t xml:space="preserve">más difíciles de tratar, es decir, en las que </w:t>
      </w:r>
      <w:r w:rsidR="00E81DAE">
        <w:rPr>
          <w:rFonts w:ascii="Cambria" w:hAnsi="Cambria"/>
          <w:i/>
          <w:iCs/>
          <w:kern w:val="2"/>
          <w:sz w:val="24"/>
          <w:szCs w:val="24"/>
        </w:rPr>
        <w:t xml:space="preserve">han fallado </w:t>
      </w:r>
      <w:r w:rsidR="006B24B3" w:rsidRPr="006B24B3">
        <w:rPr>
          <w:rFonts w:ascii="Cambria" w:hAnsi="Cambria"/>
          <w:i/>
          <w:iCs/>
          <w:kern w:val="2"/>
          <w:sz w:val="24"/>
          <w:szCs w:val="24"/>
        </w:rPr>
        <w:t xml:space="preserve">al menos dos intentos </w:t>
      </w:r>
      <w:proofErr w:type="spellStart"/>
      <w:r w:rsidR="006B24B3" w:rsidRPr="006B24B3">
        <w:rPr>
          <w:rFonts w:ascii="Cambria" w:hAnsi="Cambria"/>
          <w:i/>
          <w:iCs/>
          <w:kern w:val="2"/>
          <w:sz w:val="24"/>
          <w:szCs w:val="24"/>
        </w:rPr>
        <w:t>erradicadores</w:t>
      </w:r>
      <w:proofErr w:type="spellEnd"/>
      <w:r w:rsidR="006B24B3" w:rsidRPr="006B24B3">
        <w:rPr>
          <w:rFonts w:ascii="Cambria" w:hAnsi="Cambria"/>
          <w:i/>
          <w:iCs/>
          <w:kern w:val="2"/>
          <w:sz w:val="24"/>
          <w:szCs w:val="24"/>
        </w:rPr>
        <w:t>”.</w:t>
      </w:r>
      <w:r w:rsidR="006B24B3">
        <w:rPr>
          <w:rFonts w:ascii="Cambria" w:hAnsi="Cambria"/>
          <w:kern w:val="2"/>
          <w:sz w:val="24"/>
          <w:szCs w:val="24"/>
        </w:rPr>
        <w:t xml:space="preserve"> </w:t>
      </w:r>
    </w:p>
    <w:p w14:paraId="641AECC7" w14:textId="2A12A12F" w:rsidR="007E72A0" w:rsidRDefault="007E72A0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Los datos se registraron en un cuaderno de recogida de datos electrónico alojado en la plataforma colaborativa de la Asociación Española de Gastroenterología (AEG</w:t>
      </w:r>
      <w:r w:rsidR="00273022">
        <w:rPr>
          <w:rFonts w:ascii="Cambria" w:hAnsi="Cambria"/>
          <w:kern w:val="2"/>
          <w:sz w:val="24"/>
          <w:szCs w:val="24"/>
        </w:rPr>
        <w:t>-</w:t>
      </w:r>
      <w:r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>
        <w:rPr>
          <w:rFonts w:ascii="Cambria" w:hAnsi="Cambria"/>
          <w:kern w:val="2"/>
          <w:sz w:val="24"/>
          <w:szCs w:val="24"/>
        </w:rPr>
        <w:t>REDCap</w:t>
      </w:r>
      <w:proofErr w:type="spellEnd"/>
      <w:r w:rsidR="00273022">
        <w:rPr>
          <w:rFonts w:ascii="Cambria" w:hAnsi="Cambria"/>
          <w:kern w:val="2"/>
          <w:sz w:val="24"/>
          <w:szCs w:val="24"/>
        </w:rPr>
        <w:t>)</w:t>
      </w:r>
      <w:r>
        <w:rPr>
          <w:rFonts w:ascii="Cambria" w:hAnsi="Cambria"/>
          <w:kern w:val="2"/>
          <w:sz w:val="24"/>
          <w:szCs w:val="24"/>
        </w:rPr>
        <w:t xml:space="preserve"> y se recogieron todos los casos con al menos tres intentos de erradicación desde marzo de 2013 hasta octubre de 2021.</w:t>
      </w:r>
    </w:p>
    <w:p w14:paraId="792843AB" w14:textId="77777777" w:rsidR="007E72A0" w:rsidRPr="007E72A0" w:rsidRDefault="007E72A0" w:rsidP="007E72A0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En total, se incluyeron 2.144 tratamientos empíricos de rescate: 1.519, 439, 145 y 41 casos de tercera, cuarta, quinta y sexta línea, respectivamente, con más de 60 terapias diferentes, pero las 15 más pautadas representaron más del 90% de los casos. </w:t>
      </w:r>
      <w:r w:rsidRPr="007E72A0">
        <w:rPr>
          <w:rFonts w:ascii="Cambria" w:hAnsi="Cambria"/>
          <w:kern w:val="2"/>
          <w:sz w:val="24"/>
          <w:szCs w:val="24"/>
        </w:rPr>
        <w:t>Los tratamientos más empleados en el conjunto de Europa fueron la terapia cuádruple con bismuto en cápsula única (25%), la triple con amoxicilina-levofloxacino (15%), la triple con amoxicilina-</w:t>
      </w:r>
      <w:proofErr w:type="spellStart"/>
      <w:r w:rsidRPr="007E72A0">
        <w:rPr>
          <w:rFonts w:ascii="Cambria" w:hAnsi="Cambria"/>
          <w:kern w:val="2"/>
          <w:sz w:val="24"/>
          <w:szCs w:val="24"/>
        </w:rPr>
        <w:t>rifabutina</w:t>
      </w:r>
      <w:proofErr w:type="spellEnd"/>
      <w:r w:rsidRPr="007E72A0">
        <w:rPr>
          <w:rFonts w:ascii="Cambria" w:hAnsi="Cambria"/>
          <w:kern w:val="2"/>
          <w:sz w:val="24"/>
          <w:szCs w:val="24"/>
        </w:rPr>
        <w:t xml:space="preserve"> (13%) y la cuádruple clásica con metronidazol-tetraciclina-bismuto (8%).</w:t>
      </w:r>
    </w:p>
    <w:p w14:paraId="51807A9E" w14:textId="54F28DFB" w:rsidR="00007948" w:rsidRDefault="007E72A0" w:rsidP="007E72A0">
      <w:pPr>
        <w:jc w:val="both"/>
        <w:rPr>
          <w:rFonts w:ascii="Cambria" w:hAnsi="Cambria"/>
          <w:kern w:val="2"/>
          <w:sz w:val="24"/>
          <w:szCs w:val="24"/>
        </w:rPr>
      </w:pPr>
      <w:r w:rsidRPr="007E72A0">
        <w:rPr>
          <w:rFonts w:ascii="Cambria" w:hAnsi="Cambria"/>
          <w:kern w:val="2"/>
          <w:sz w:val="24"/>
          <w:szCs w:val="24"/>
        </w:rPr>
        <w:t>La efectividad global de tercera</w:t>
      </w:r>
      <w:r w:rsidR="001E3BB2">
        <w:rPr>
          <w:rFonts w:ascii="Cambria" w:hAnsi="Cambria"/>
          <w:kern w:val="2"/>
          <w:sz w:val="24"/>
          <w:szCs w:val="24"/>
        </w:rPr>
        <w:t xml:space="preserve"> </w:t>
      </w:r>
      <w:r w:rsidR="00273022">
        <w:rPr>
          <w:rFonts w:ascii="Cambria" w:hAnsi="Cambria"/>
          <w:kern w:val="2"/>
          <w:sz w:val="24"/>
          <w:szCs w:val="24"/>
        </w:rPr>
        <w:t xml:space="preserve">a </w:t>
      </w:r>
      <w:r w:rsidRPr="007E72A0">
        <w:rPr>
          <w:rFonts w:ascii="Cambria" w:hAnsi="Cambria"/>
          <w:kern w:val="2"/>
          <w:sz w:val="24"/>
          <w:szCs w:val="24"/>
        </w:rPr>
        <w:t>sexta línea fue inferior al 90% con todas las terapias</w:t>
      </w:r>
      <w:r w:rsidR="00007948">
        <w:rPr>
          <w:rFonts w:ascii="Cambria" w:hAnsi="Cambria"/>
          <w:kern w:val="2"/>
          <w:sz w:val="24"/>
          <w:szCs w:val="24"/>
        </w:rPr>
        <w:t xml:space="preserve"> y l</w:t>
      </w:r>
      <w:r w:rsidRPr="007E72A0">
        <w:rPr>
          <w:rFonts w:ascii="Cambria" w:hAnsi="Cambria"/>
          <w:kern w:val="2"/>
          <w:sz w:val="24"/>
          <w:szCs w:val="24"/>
        </w:rPr>
        <w:t>a tasa de erradicación de los tratamientos optimizados (en términos de duración y dosis de los fármacos empleados) fue superior a la de los no optimizados</w:t>
      </w:r>
      <w:r w:rsidR="00007948">
        <w:rPr>
          <w:rFonts w:ascii="Cambria" w:hAnsi="Cambria"/>
          <w:kern w:val="2"/>
          <w:sz w:val="24"/>
          <w:szCs w:val="24"/>
        </w:rPr>
        <w:t xml:space="preserve">. </w:t>
      </w:r>
    </w:p>
    <w:p w14:paraId="38ACCC96" w14:textId="5AA9B860" w:rsidR="007E72A0" w:rsidRDefault="007E72A0" w:rsidP="007E72A0">
      <w:pPr>
        <w:jc w:val="both"/>
        <w:rPr>
          <w:rFonts w:ascii="Cambria" w:hAnsi="Cambria"/>
          <w:kern w:val="2"/>
          <w:sz w:val="24"/>
          <w:szCs w:val="24"/>
        </w:rPr>
      </w:pPr>
      <w:r w:rsidRPr="007E72A0">
        <w:rPr>
          <w:rFonts w:ascii="Cambria" w:hAnsi="Cambria"/>
          <w:kern w:val="2"/>
          <w:sz w:val="24"/>
          <w:szCs w:val="24"/>
        </w:rPr>
        <w:t>La combinación metronidazol-tetraciclina-bismuto se acercó a una tasa de erradicación óptima (≥90%) únicamente cuando se prescribió como cápsula única en tercera línea (87%) o como terapia cuádruple clásica de 14 días con clorhidrato de tetraciclina (95%). El tratamiento triple con amoxicilina-levofloxacino alcanzó una efectividad del 90% únicamente en Europa del Este (independientemente de la optimización) y en otras regiones europeas solo si estaba optimizado.</w:t>
      </w:r>
      <w:r w:rsidR="00007948">
        <w:rPr>
          <w:rFonts w:ascii="Cambria" w:hAnsi="Cambria"/>
          <w:kern w:val="2"/>
          <w:sz w:val="24"/>
          <w:szCs w:val="24"/>
        </w:rPr>
        <w:t xml:space="preserve"> </w:t>
      </w:r>
      <w:r w:rsidRPr="007E72A0">
        <w:rPr>
          <w:rFonts w:ascii="Cambria" w:hAnsi="Cambria"/>
          <w:kern w:val="2"/>
          <w:sz w:val="24"/>
          <w:szCs w:val="24"/>
        </w:rPr>
        <w:t>La incidencia global de al menos un efecto adverso en todos los tratamientos de rescate fue del 31%.</w:t>
      </w:r>
    </w:p>
    <w:p w14:paraId="3AC02A2A" w14:textId="7797F90A" w:rsidR="00924905" w:rsidRDefault="007E72A0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En opinión de </w:t>
      </w:r>
      <w:r w:rsidRPr="007E72A0">
        <w:rPr>
          <w:rFonts w:ascii="Cambria" w:hAnsi="Cambria"/>
          <w:kern w:val="2"/>
          <w:sz w:val="24"/>
          <w:szCs w:val="24"/>
        </w:rPr>
        <w:t>Diego Burgos, gastroenterólogo del Hospital Ramón y Cajal</w:t>
      </w:r>
      <w:r>
        <w:rPr>
          <w:rFonts w:ascii="Cambria" w:hAnsi="Cambria"/>
          <w:kern w:val="2"/>
          <w:sz w:val="24"/>
          <w:szCs w:val="24"/>
        </w:rPr>
        <w:t xml:space="preserve"> y primer firmante del </w:t>
      </w:r>
      <w:r w:rsidR="001E3BB2">
        <w:rPr>
          <w:rFonts w:ascii="Cambria" w:hAnsi="Cambria"/>
          <w:kern w:val="2"/>
          <w:sz w:val="24"/>
          <w:szCs w:val="24"/>
        </w:rPr>
        <w:t>estudio</w:t>
      </w:r>
      <w:r>
        <w:rPr>
          <w:rFonts w:ascii="Cambria" w:hAnsi="Cambria"/>
          <w:kern w:val="2"/>
          <w:sz w:val="24"/>
          <w:szCs w:val="24"/>
        </w:rPr>
        <w:t>, “</w:t>
      </w:r>
      <w:r w:rsidRPr="00007948">
        <w:rPr>
          <w:rFonts w:ascii="Cambria" w:hAnsi="Cambria"/>
          <w:i/>
          <w:iCs/>
          <w:kern w:val="2"/>
          <w:sz w:val="24"/>
          <w:szCs w:val="24"/>
        </w:rPr>
        <w:t xml:space="preserve">con este trabajo concluimos que </w:t>
      </w:r>
      <w:r w:rsidR="00924905" w:rsidRPr="00007948">
        <w:rPr>
          <w:rFonts w:ascii="Cambria" w:hAnsi="Cambria"/>
          <w:i/>
          <w:iCs/>
          <w:kern w:val="2"/>
          <w:sz w:val="24"/>
          <w:szCs w:val="24"/>
        </w:rPr>
        <w:t xml:space="preserve">existe un margen de mejora </w:t>
      </w:r>
      <w:r w:rsidR="00924905" w:rsidRPr="00007948">
        <w:rPr>
          <w:rFonts w:ascii="Cambria" w:hAnsi="Cambria"/>
          <w:i/>
          <w:iCs/>
          <w:kern w:val="2"/>
          <w:sz w:val="24"/>
          <w:szCs w:val="24"/>
        </w:rPr>
        <w:lastRenderedPageBreak/>
        <w:t xml:space="preserve">relevante en la adherencia a los principios de optimización en las terapias establecidas en las guías de práctica clínica de hace </w:t>
      </w:r>
      <w:r w:rsidR="0095165D">
        <w:rPr>
          <w:rFonts w:ascii="Cambria" w:hAnsi="Cambria"/>
          <w:i/>
          <w:iCs/>
          <w:kern w:val="2"/>
          <w:sz w:val="24"/>
          <w:szCs w:val="24"/>
        </w:rPr>
        <w:t xml:space="preserve">ya varios </w:t>
      </w:r>
      <w:r w:rsidR="00924905" w:rsidRPr="00007948">
        <w:rPr>
          <w:rFonts w:ascii="Cambria" w:hAnsi="Cambria"/>
          <w:i/>
          <w:iCs/>
          <w:kern w:val="2"/>
          <w:sz w:val="24"/>
          <w:szCs w:val="24"/>
        </w:rPr>
        <w:t>años”.</w:t>
      </w:r>
      <w:r w:rsidR="00924905">
        <w:rPr>
          <w:rFonts w:ascii="Cambria" w:hAnsi="Cambria"/>
          <w:kern w:val="2"/>
          <w:sz w:val="24"/>
          <w:szCs w:val="24"/>
        </w:rPr>
        <w:t xml:space="preserve"> </w:t>
      </w:r>
    </w:p>
    <w:p w14:paraId="3A5B22C8" w14:textId="77777777" w:rsidR="001E3BB2" w:rsidRDefault="001E3BB2" w:rsidP="00871036">
      <w:pPr>
        <w:jc w:val="both"/>
        <w:rPr>
          <w:rFonts w:ascii="Cambria" w:hAnsi="Cambria"/>
          <w:b/>
          <w:bCs/>
          <w:kern w:val="2"/>
          <w:sz w:val="24"/>
          <w:szCs w:val="24"/>
        </w:rPr>
      </w:pPr>
    </w:p>
    <w:p w14:paraId="25AD70F2" w14:textId="710433C4" w:rsidR="00871036" w:rsidRPr="00520DFF" w:rsidRDefault="00520DFF" w:rsidP="00871036">
      <w:pPr>
        <w:jc w:val="both"/>
        <w:rPr>
          <w:rFonts w:ascii="Cambria" w:hAnsi="Cambria"/>
          <w:b/>
          <w:bCs/>
          <w:kern w:val="2"/>
          <w:sz w:val="24"/>
          <w:szCs w:val="24"/>
        </w:rPr>
      </w:pPr>
      <w:r w:rsidRPr="00520DFF">
        <w:rPr>
          <w:rFonts w:ascii="Cambria" w:hAnsi="Cambria"/>
          <w:b/>
          <w:bCs/>
          <w:kern w:val="2"/>
          <w:sz w:val="24"/>
          <w:szCs w:val="24"/>
        </w:rPr>
        <w:t xml:space="preserve">Enlace al artículo de referencia: </w:t>
      </w:r>
    </w:p>
    <w:p w14:paraId="73C8F1CD" w14:textId="0E8FFFA8" w:rsidR="000F56DA" w:rsidRDefault="000F56DA" w:rsidP="000F56DA">
      <w:pPr>
        <w:jc w:val="both"/>
        <w:rPr>
          <w:rFonts w:ascii="Cambria" w:hAnsi="Cambria"/>
          <w:i/>
          <w:iCs/>
          <w:kern w:val="2"/>
          <w:sz w:val="24"/>
          <w:szCs w:val="24"/>
          <w:lang w:val="en-US"/>
        </w:rPr>
      </w:pPr>
      <w:r w:rsidRPr="00520DFF">
        <w:rPr>
          <w:rFonts w:ascii="Cambria" w:hAnsi="Cambria"/>
          <w:i/>
          <w:iCs/>
          <w:kern w:val="2"/>
          <w:sz w:val="24"/>
          <w:szCs w:val="24"/>
          <w:lang w:val="en-US"/>
        </w:rPr>
        <w:t>Empirical rescue treatment of Helicobacter pylori infection in third and subsequent lines: 8-year experience in 2144 patients from the European Registry on H. pylori management (Hp-</w:t>
      </w:r>
      <w:proofErr w:type="spellStart"/>
      <w:r w:rsidRPr="00520DFF">
        <w:rPr>
          <w:rFonts w:ascii="Cambria" w:hAnsi="Cambria"/>
          <w:i/>
          <w:iCs/>
          <w:kern w:val="2"/>
          <w:sz w:val="24"/>
          <w:szCs w:val="24"/>
          <w:lang w:val="en-US"/>
        </w:rPr>
        <w:t>EuReg</w:t>
      </w:r>
      <w:proofErr w:type="spellEnd"/>
      <w:r w:rsidRPr="00520DFF">
        <w:rPr>
          <w:rFonts w:ascii="Cambria" w:hAnsi="Cambria"/>
          <w:i/>
          <w:iCs/>
          <w:kern w:val="2"/>
          <w:sz w:val="24"/>
          <w:szCs w:val="24"/>
          <w:lang w:val="en-US"/>
        </w:rPr>
        <w:t>)</w:t>
      </w:r>
      <w:r w:rsidR="00520DFF">
        <w:rPr>
          <w:rFonts w:ascii="Cambria" w:hAnsi="Cambria"/>
          <w:i/>
          <w:iCs/>
          <w:kern w:val="2"/>
          <w:sz w:val="24"/>
          <w:szCs w:val="24"/>
          <w:lang w:val="en-US"/>
        </w:rPr>
        <w:t xml:space="preserve"> </w:t>
      </w:r>
    </w:p>
    <w:p w14:paraId="454F7B31" w14:textId="1535D242" w:rsidR="007C0C26" w:rsidRPr="00520DFF" w:rsidRDefault="003D7BA3" w:rsidP="000F56DA">
      <w:pPr>
        <w:jc w:val="both"/>
        <w:rPr>
          <w:rFonts w:ascii="Cambria" w:hAnsi="Cambria"/>
          <w:i/>
          <w:iCs/>
          <w:kern w:val="2"/>
          <w:sz w:val="24"/>
          <w:szCs w:val="24"/>
          <w:lang w:val="en-US"/>
        </w:rPr>
      </w:pPr>
      <w:hyperlink r:id="rId7" w:history="1">
        <w:r w:rsidR="007C0C26" w:rsidRPr="007C0C26">
          <w:rPr>
            <w:rStyle w:val="Hipervnculo"/>
            <w:lang w:val="en-US"/>
          </w:rPr>
          <w:t>https://gut.bmj.com/content/early/2022/12/05/gutjnl-2022-328232</w:t>
        </w:r>
      </w:hyperlink>
    </w:p>
    <w:p w14:paraId="1CBAD32E" w14:textId="417B9ABB" w:rsidR="000F56DA" w:rsidRPr="000F56DA" w:rsidRDefault="000F56DA" w:rsidP="00871036">
      <w:pPr>
        <w:jc w:val="both"/>
        <w:rPr>
          <w:rFonts w:ascii="Cambria" w:hAnsi="Cambria"/>
          <w:b/>
          <w:bCs/>
          <w:kern w:val="2"/>
          <w:sz w:val="24"/>
          <w:szCs w:val="24"/>
          <w:lang w:val="en-US"/>
        </w:rPr>
      </w:pPr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Diego Burgos-Santamaría, Olga P Nyssen, Antonio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Gasbarrini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>, Dino Vaira, Ángeles Pérez-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Aisa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Luís Rodrigo, Rinaldo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Pellicano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Alma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Keco-Huerga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>, Manuel Pabón-Carrasco, Manuel Castro-Fern</w:t>
      </w:r>
      <w:r w:rsidR="00EE1903">
        <w:rPr>
          <w:rFonts w:ascii="Cambria" w:hAnsi="Cambria"/>
          <w:kern w:val="2"/>
          <w:sz w:val="24"/>
          <w:szCs w:val="24"/>
          <w:lang w:val="en-US"/>
        </w:rPr>
        <w:t>á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ndez, Doron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Boltin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>, Jes</w:t>
      </w:r>
      <w:r w:rsidR="00EE1903">
        <w:rPr>
          <w:rFonts w:ascii="Cambria" w:hAnsi="Cambria"/>
          <w:kern w:val="2"/>
          <w:sz w:val="24"/>
          <w:szCs w:val="24"/>
          <w:lang w:val="en-US"/>
        </w:rPr>
        <w:t>ú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s Barrio,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Perminder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Phull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Juozas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Kupcinskas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Laimas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Jonaitis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Inmaculada Ortiz-Polo, Bojan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Tepes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Alfredo J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Lucendo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José María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Huguet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Miguel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Areia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Natasa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Brglez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Jurecic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Maja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Denkovski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>, Lu</w:t>
      </w:r>
      <w:r w:rsidR="00EE1903">
        <w:rPr>
          <w:rFonts w:ascii="Cambria" w:hAnsi="Cambria"/>
          <w:kern w:val="2"/>
          <w:sz w:val="24"/>
          <w:szCs w:val="24"/>
          <w:lang w:val="en-US"/>
        </w:rPr>
        <w:t>i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s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Bujanda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>, June Ramos-San Román,</w:t>
      </w:r>
      <w:r w:rsidR="00EE1903"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Antonio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Cuadrado-Lavín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Judith </w:t>
      </w:r>
      <w:r w:rsidR="00EE1903">
        <w:rPr>
          <w:rFonts w:ascii="Cambria" w:hAnsi="Cambria"/>
          <w:kern w:val="2"/>
          <w:sz w:val="24"/>
          <w:szCs w:val="24"/>
          <w:lang w:val="en-US"/>
        </w:rPr>
        <w:t>Gó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>mez-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Camarero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Manuel Alfonso Jiménez Moreno, </w:t>
      </w:r>
      <w:r w:rsidR="00EE1903">
        <w:rPr>
          <w:rFonts w:ascii="Cambria" w:hAnsi="Cambria"/>
          <w:kern w:val="2"/>
          <w:sz w:val="24"/>
          <w:szCs w:val="24"/>
          <w:lang w:val="en-US"/>
        </w:rPr>
        <w:t>Á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>ngel Lanas, Samuel Jesús Martinez-Dom</w:t>
      </w:r>
      <w:r w:rsidR="00EE1903">
        <w:rPr>
          <w:rFonts w:ascii="Cambria" w:hAnsi="Cambria"/>
          <w:kern w:val="2"/>
          <w:sz w:val="24"/>
          <w:szCs w:val="24"/>
          <w:lang w:val="en-US"/>
        </w:rPr>
        <w:t>í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nguez, Enrique Alfaro, Ricardo Marcos-Pinto, Vladimir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Milivojevic</w:t>
      </w:r>
      <w:proofErr w:type="spellEnd"/>
      <w:r w:rsidR="00EE1903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Theodore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Rokkas</w:t>
      </w:r>
      <w:proofErr w:type="spellEnd"/>
      <w:r w:rsidR="00EE1903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Marcis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Leja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Sinead Smith, Ante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Tonkić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György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Miklós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Buzás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Michael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Doulberis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Marino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Venerito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Frode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Lerang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Dmitry S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Bordin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Vincent Lamy, Lisette G Capelle, Wojciech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Marlicz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Daniela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Dobru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Oleksiy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Gridnye</w:t>
      </w:r>
      <w:r w:rsidR="00060E0D">
        <w:rPr>
          <w:rFonts w:ascii="Cambria" w:hAnsi="Cambria"/>
          <w:kern w:val="2"/>
          <w:sz w:val="24"/>
          <w:szCs w:val="24"/>
          <w:lang w:val="en-US"/>
        </w:rPr>
        <w:t>v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Ignasi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Puig, Francis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Mégraud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, Colm 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O'Morain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>, Javier P Gisbert</w:t>
      </w:r>
      <w:r w:rsidR="00060E0D">
        <w:rPr>
          <w:rFonts w:ascii="Cambria" w:hAnsi="Cambria"/>
          <w:kern w:val="2"/>
          <w:sz w:val="24"/>
          <w:szCs w:val="24"/>
          <w:lang w:val="en-US"/>
        </w:rPr>
        <w:t xml:space="preserve"> </w:t>
      </w:r>
      <w:r w:rsidRPr="000F56DA">
        <w:rPr>
          <w:rFonts w:ascii="Cambria" w:hAnsi="Cambria"/>
          <w:kern w:val="2"/>
          <w:sz w:val="24"/>
          <w:szCs w:val="24"/>
          <w:lang w:val="en-US"/>
        </w:rPr>
        <w:t>On behalf of the Hp-</w:t>
      </w:r>
      <w:proofErr w:type="spellStart"/>
      <w:r w:rsidRPr="000F56DA">
        <w:rPr>
          <w:rFonts w:ascii="Cambria" w:hAnsi="Cambria"/>
          <w:kern w:val="2"/>
          <w:sz w:val="24"/>
          <w:szCs w:val="24"/>
          <w:lang w:val="en-US"/>
        </w:rPr>
        <w:t>EuReg</w:t>
      </w:r>
      <w:proofErr w:type="spellEnd"/>
      <w:r w:rsidRPr="000F56DA">
        <w:rPr>
          <w:rFonts w:ascii="Cambria" w:hAnsi="Cambria"/>
          <w:kern w:val="2"/>
          <w:sz w:val="24"/>
          <w:szCs w:val="24"/>
          <w:lang w:val="en-US"/>
        </w:rPr>
        <w:t xml:space="preserve"> Investigators</w:t>
      </w:r>
    </w:p>
    <w:p w14:paraId="6870618C" w14:textId="77777777" w:rsidR="001E3BB2" w:rsidRDefault="001E3BB2" w:rsidP="00871036">
      <w:pPr>
        <w:jc w:val="both"/>
        <w:rPr>
          <w:rFonts w:ascii="Cambria" w:hAnsi="Cambria"/>
          <w:b/>
          <w:bCs/>
          <w:kern w:val="2"/>
          <w:sz w:val="24"/>
          <w:szCs w:val="24"/>
        </w:rPr>
      </w:pPr>
    </w:p>
    <w:p w14:paraId="1AC3AECA" w14:textId="12994362" w:rsidR="00871036" w:rsidRPr="00871036" w:rsidRDefault="00871036" w:rsidP="00871036">
      <w:pPr>
        <w:jc w:val="both"/>
        <w:rPr>
          <w:rFonts w:ascii="Cambria" w:hAnsi="Cambria"/>
          <w:b/>
          <w:bCs/>
          <w:kern w:val="2"/>
          <w:sz w:val="24"/>
          <w:szCs w:val="24"/>
        </w:rPr>
      </w:pPr>
      <w:r w:rsidRPr="00871036">
        <w:rPr>
          <w:rFonts w:ascii="Cambria" w:hAnsi="Cambria"/>
          <w:b/>
          <w:bCs/>
          <w:kern w:val="2"/>
          <w:sz w:val="24"/>
          <w:szCs w:val="24"/>
        </w:rPr>
        <w:t xml:space="preserve">Sobre el CIBEREHD </w:t>
      </w:r>
    </w:p>
    <w:p w14:paraId="60153E5E" w14:textId="77777777" w:rsidR="00871036" w:rsidRPr="00871036" w:rsidRDefault="00871036" w:rsidP="00871036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El CIBER (Consorcio Centro de Investigación Biomédica en Red, M.P.) depende del Instituto de Salud Carlos III –Ministerio de Ciencia e Innovación– y está cofinanciado por el Fondo Europeo de Desarrollo Regional (FEDER). </w:t>
      </w:r>
      <w:r w:rsidRPr="00871036">
        <w:rPr>
          <w:rFonts w:ascii="Cambria" w:hAnsi="Cambria"/>
          <w:kern w:val="2"/>
          <w:sz w:val="24"/>
          <w:szCs w:val="24"/>
        </w:rPr>
        <w:t xml:space="preserve">El CIBER de Enfermedades Hepáticas y Digestivas (CIBEREHD) tiene como finalidad la promoción y protección de la salud por medio del fomento de la investigación. Esta actividad, cuyo alcance incluye tanto a las investigaciones de carácter básico, como aspectos clínicos y traslacionales, se fundamenta en torno a la temática de enfermedades hepáticas y digestivas con la finalidad de innovar en la prevención de dichas enfermedades y de promover avances científicos y sanitarios relevantes a través de la colaboración de los mejores grupos españoles. </w:t>
      </w:r>
    </w:p>
    <w:p w14:paraId="2A0684D3" w14:textId="77777777" w:rsidR="00871036" w:rsidRPr="001E1029" w:rsidRDefault="00871036" w:rsidP="00871036">
      <w:pPr>
        <w:rPr>
          <w:lang w:val="es-ES_tradnl"/>
        </w:rPr>
      </w:pPr>
    </w:p>
    <w:p w14:paraId="16461C98" w14:textId="77777777" w:rsidR="00871036" w:rsidRPr="00871036" w:rsidRDefault="00871036" w:rsidP="00871036">
      <w:pPr>
        <w:jc w:val="both"/>
        <w:rPr>
          <w:rFonts w:ascii="Cambria" w:hAnsi="Cambria"/>
          <w:lang w:val="es-ES_tradnl"/>
        </w:rPr>
      </w:pPr>
    </w:p>
    <w:sectPr w:rsidR="00871036" w:rsidRPr="0087103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3C31" w14:textId="77777777" w:rsidR="005168F9" w:rsidRDefault="005168F9" w:rsidP="005168F9">
      <w:pPr>
        <w:spacing w:after="0" w:line="240" w:lineRule="auto"/>
      </w:pPr>
      <w:r>
        <w:separator/>
      </w:r>
    </w:p>
  </w:endnote>
  <w:endnote w:type="continuationSeparator" w:id="0">
    <w:p w14:paraId="2BCB2F4A" w14:textId="77777777" w:rsidR="005168F9" w:rsidRDefault="005168F9" w:rsidP="0051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6EBF" w14:textId="77777777" w:rsidR="005168F9" w:rsidRDefault="005168F9" w:rsidP="005168F9">
      <w:pPr>
        <w:spacing w:after="0" w:line="240" w:lineRule="auto"/>
      </w:pPr>
      <w:r>
        <w:separator/>
      </w:r>
    </w:p>
  </w:footnote>
  <w:footnote w:type="continuationSeparator" w:id="0">
    <w:p w14:paraId="5428F078" w14:textId="77777777" w:rsidR="005168F9" w:rsidRDefault="005168F9" w:rsidP="0051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08A" w14:textId="0FD18E3C" w:rsidR="005168F9" w:rsidRDefault="005168F9">
    <w:pPr>
      <w:pStyle w:val="Encabezado"/>
    </w:pPr>
    <w:r w:rsidRPr="00C47DBA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6E207548" wp14:editId="74E41C21">
          <wp:simplePos x="0" y="0"/>
          <wp:positionH relativeFrom="column">
            <wp:posOffset>4805045</wp:posOffset>
          </wp:positionH>
          <wp:positionV relativeFrom="paragraph">
            <wp:posOffset>-48260</wp:posOffset>
          </wp:positionV>
          <wp:extent cx="609600" cy="4940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93B7589" wp14:editId="282AED4B">
          <wp:simplePos x="0" y="0"/>
          <wp:positionH relativeFrom="column">
            <wp:posOffset>1499870</wp:posOffset>
          </wp:positionH>
          <wp:positionV relativeFrom="paragraph">
            <wp:posOffset>-78105</wp:posOffset>
          </wp:positionV>
          <wp:extent cx="1314450" cy="523875"/>
          <wp:effectExtent l="0" t="0" r="0" b="0"/>
          <wp:wrapThrough wrapText="bothSides">
            <wp:wrapPolygon edited="0">
              <wp:start x="0" y="0"/>
              <wp:lineTo x="0" y="21207"/>
              <wp:lineTo x="21287" y="21207"/>
              <wp:lineTo x="21287" y="0"/>
              <wp:lineTo x="0" y="0"/>
            </wp:wrapPolygon>
          </wp:wrapThrough>
          <wp:docPr id="7" name="Imagen 7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3-ISCIII-GRAN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1270" distL="114300" distR="118745" simplePos="0" relativeHeight="251659264" behindDoc="1" locked="0" layoutInCell="1" allowOverlap="1" wp14:anchorId="595347AE" wp14:editId="3942918D">
          <wp:simplePos x="0" y="0"/>
          <wp:positionH relativeFrom="column">
            <wp:posOffset>-304800</wp:posOffset>
          </wp:positionH>
          <wp:positionV relativeFrom="paragraph">
            <wp:posOffset>-200660</wp:posOffset>
          </wp:positionV>
          <wp:extent cx="1462405" cy="646430"/>
          <wp:effectExtent l="0" t="0" r="4445" b="1270"/>
          <wp:wrapSquare wrapText="bothSides"/>
          <wp:docPr id="3" name="Imagen 5" descr="C:\Documents and Settings\Laura\Escritorio\logo_ciberehd_t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C:\Documents and Settings\Laura\Escritorio\logo_ciberehd_tex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2997238D" wp14:editId="263B9178">
          <wp:simplePos x="0" y="0"/>
          <wp:positionH relativeFrom="column">
            <wp:posOffset>2909570</wp:posOffset>
          </wp:positionH>
          <wp:positionV relativeFrom="paragraph">
            <wp:posOffset>-635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716"/>
    <w:multiLevelType w:val="hybridMultilevel"/>
    <w:tmpl w:val="AB66F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64CB"/>
    <w:multiLevelType w:val="hybridMultilevel"/>
    <w:tmpl w:val="2FF2CB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515436"/>
    <w:multiLevelType w:val="hybridMultilevel"/>
    <w:tmpl w:val="B15A4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30933">
    <w:abstractNumId w:val="0"/>
  </w:num>
  <w:num w:numId="2" w16cid:durableId="289282020">
    <w:abstractNumId w:val="1"/>
  </w:num>
  <w:num w:numId="3" w16cid:durableId="113294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6E"/>
    <w:rsid w:val="00007948"/>
    <w:rsid w:val="00060E0D"/>
    <w:rsid w:val="000D3226"/>
    <w:rsid w:val="000F56DA"/>
    <w:rsid w:val="001236AE"/>
    <w:rsid w:val="001D3C11"/>
    <w:rsid w:val="001E3BB2"/>
    <w:rsid w:val="001F25DE"/>
    <w:rsid w:val="0021332E"/>
    <w:rsid w:val="0025226E"/>
    <w:rsid w:val="00273022"/>
    <w:rsid w:val="002F00A1"/>
    <w:rsid w:val="002F4F90"/>
    <w:rsid w:val="003148C0"/>
    <w:rsid w:val="003D7BA3"/>
    <w:rsid w:val="004C0C9D"/>
    <w:rsid w:val="005168F9"/>
    <w:rsid w:val="00520DFF"/>
    <w:rsid w:val="005415E0"/>
    <w:rsid w:val="00692CF8"/>
    <w:rsid w:val="006B24B3"/>
    <w:rsid w:val="006F58EA"/>
    <w:rsid w:val="007C0C26"/>
    <w:rsid w:val="007E72A0"/>
    <w:rsid w:val="008554CA"/>
    <w:rsid w:val="00856CA0"/>
    <w:rsid w:val="00871036"/>
    <w:rsid w:val="00884052"/>
    <w:rsid w:val="00924905"/>
    <w:rsid w:val="0095165D"/>
    <w:rsid w:val="009E7900"/>
    <w:rsid w:val="00A77AC0"/>
    <w:rsid w:val="00B77134"/>
    <w:rsid w:val="00B92BCB"/>
    <w:rsid w:val="00BC6F85"/>
    <w:rsid w:val="00C7450D"/>
    <w:rsid w:val="00CB33FE"/>
    <w:rsid w:val="00E81DAE"/>
    <w:rsid w:val="00E97410"/>
    <w:rsid w:val="00ED5DDA"/>
    <w:rsid w:val="00E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5100"/>
  <w15:docId w15:val="{4518517C-24BD-41DE-B95C-7DFDA31B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03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8F9"/>
  </w:style>
  <w:style w:type="paragraph" w:styleId="Piedepgina">
    <w:name w:val="footer"/>
    <w:basedOn w:val="Normal"/>
    <w:link w:val="PiedepginaCar"/>
    <w:uiPriority w:val="99"/>
    <w:unhideWhenUsed/>
    <w:rsid w:val="00516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8F9"/>
  </w:style>
  <w:style w:type="paragraph" w:styleId="Prrafodelista">
    <w:name w:val="List Paragraph"/>
    <w:basedOn w:val="Normal"/>
    <w:uiPriority w:val="34"/>
    <w:qFormat/>
    <w:rsid w:val="008710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56D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6D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840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40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40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40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405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7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t.bmj.com/content/early/2022/12/05/gutjnl-2022-328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2</cp:revision>
  <dcterms:created xsi:type="dcterms:W3CDTF">2022-12-30T08:53:00Z</dcterms:created>
  <dcterms:modified xsi:type="dcterms:W3CDTF">2022-12-30T08:53:00Z</dcterms:modified>
</cp:coreProperties>
</file>